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64" w:rsidRDefault="000D3864" w:rsidP="000D386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D3864" w:rsidRDefault="000D3864" w:rsidP="000D3864">
      <w:pPr>
        <w:pStyle w:val="ConsPlusTitle"/>
        <w:jc w:val="center"/>
      </w:pPr>
      <w:r>
        <w:t>ОСНОВНЫЕ ИЗМЕНЕНИЯ В ТРУДОВОМ ЗАКОНОДАТЕЛЬСТВЕ В 2025 ГОДУ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r>
        <w:t>С 1 марта 2025 года вступят в силу новые требования к аптечке первой помощи для работников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hyperlink r:id="rId6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Минтруда России от 09.08.2024 N 398н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 xml:space="preserve">Определили, как размещать, хранить и использовать аптечки для оказания первой помощи персоналу. Пока действуют только </w:t>
      </w:r>
      <w:hyperlink r:id="rId7">
        <w:r>
          <w:rPr>
            <w:color w:val="0000FF"/>
          </w:rPr>
          <w:t>требования</w:t>
        </w:r>
      </w:hyperlink>
      <w:r>
        <w:t xml:space="preserve"> к их комплектации.</w:t>
      </w:r>
    </w:p>
    <w:p w:rsidR="000D3864" w:rsidRDefault="000D3864" w:rsidP="000D3864">
      <w:pPr>
        <w:pStyle w:val="ConsPlusNormal"/>
        <w:jc w:val="both"/>
      </w:pPr>
      <w:r>
        <w:t xml:space="preserve">Среди прочего </w:t>
      </w:r>
      <w:hyperlink r:id="rId8">
        <w:r>
          <w:rPr>
            <w:color w:val="0000FF"/>
          </w:rPr>
          <w:t>закрепили</w:t>
        </w:r>
      </w:hyperlink>
      <w:r>
        <w:t xml:space="preserve"> положение о том, что количество аптечек, а также мест для их размещения и хранения работодатель определяет, в частности, исходя из среднесписочной численности организации. При этом надо учесть мнение первичной профсоюзной организации или иного представительного органа сотрудников.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r>
        <w:t>С 1 марта 2025 года заработают изменения в ТК РФ о наставничестве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09.11.2024 N 381-ФЗ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 xml:space="preserve">Кодекс дополнят </w:t>
      </w:r>
      <w:hyperlink r:id="rId10">
        <w:r>
          <w:rPr>
            <w:color w:val="0000FF"/>
          </w:rPr>
          <w:t>статьей</w:t>
        </w:r>
      </w:hyperlink>
      <w:r>
        <w:t xml:space="preserve"> с особенностями регулирования труда наставников. Поручить такие функции специалисту можно будет с его письменного согласия. Под ними подразумевают помощь коллеге в овладении навыками работы по профессии или специальности. Содержание, сроки, форму выполнения обязанностей и плату за них потребуется указать в трудовом договоре или </w:t>
      </w:r>
      <w:proofErr w:type="spellStart"/>
      <w:r>
        <w:t>допсоглашении</w:t>
      </w:r>
      <w:proofErr w:type="spellEnd"/>
      <w:r>
        <w:t>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r>
        <w:t>С 1 марта 2025 года вступят в силу поправки о компенсации при увольнении неиспользованных отгулов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1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30.09.2024 N 339-ФЗ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 xml:space="preserve">Закрепили </w:t>
      </w:r>
      <w:hyperlink r:id="rId12">
        <w:r>
          <w:rPr>
            <w:color w:val="0000FF"/>
          </w:rPr>
          <w:t>обязанность</w:t>
        </w:r>
      </w:hyperlink>
      <w:r>
        <w:t xml:space="preserve"> работодателей выплачивать при увольнении компенсацию за неиспользованные </w:t>
      </w:r>
      <w:hyperlink r:id="rId13">
        <w:r>
          <w:rPr>
            <w:color w:val="0000FF"/>
          </w:rPr>
          <w:t>дни отдыха</w:t>
        </w:r>
      </w:hyperlink>
      <w:r>
        <w:t xml:space="preserve"> за работу в выходные и праздники. Специалист должен получить разницу между </w:t>
      </w:r>
      <w:hyperlink r:id="rId14">
        <w:r>
          <w:rPr>
            <w:color w:val="0000FF"/>
          </w:rPr>
          <w:t>повышенной</w:t>
        </w:r>
      </w:hyperlink>
      <w:r>
        <w:t xml:space="preserve"> и уже начисленной оплатой. Речь идет обо всех не использованных в период трудовой деятельности у конкретного работодателя отгулах.</w:t>
      </w:r>
    </w:p>
    <w:p w:rsidR="000D3864" w:rsidRDefault="000D3864" w:rsidP="000D3864">
      <w:pPr>
        <w:pStyle w:val="ConsPlusNormal"/>
        <w:jc w:val="both"/>
      </w:pPr>
      <w:r>
        <w:t xml:space="preserve">Уточнили также, что взять день отдыха работник вправе </w:t>
      </w:r>
      <w:hyperlink r:id="rId15">
        <w:r>
          <w:rPr>
            <w:color w:val="0000FF"/>
          </w:rPr>
          <w:t>в течение года</w:t>
        </w:r>
      </w:hyperlink>
      <w:r>
        <w:t xml:space="preserve"> </w:t>
      </w:r>
      <w:proofErr w:type="gramStart"/>
      <w:r>
        <w:t>с даты выполнения</w:t>
      </w:r>
      <w:proofErr w:type="gramEnd"/>
      <w:r>
        <w:t xml:space="preserve"> обязанностей в выходной или праздник. Сотрудник также может присоединить отгул к отпуску в этом периоде.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r>
        <w:t>С 1 марта 2025 года начнут действовать новшества для борьбы с задержками зарплаты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6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08.08.2024 N 268-ФЗ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>В ТК РФ закрепят меры против просрочек по зарплате:</w:t>
      </w:r>
    </w:p>
    <w:p w:rsidR="000D3864" w:rsidRDefault="000D3864" w:rsidP="000D3864">
      <w:pPr>
        <w:pStyle w:val="ConsPlusNormal"/>
        <w:jc w:val="both"/>
      </w:pPr>
      <w:r>
        <w:t>- профилактику и мониторинг;</w:t>
      </w:r>
    </w:p>
    <w:p w:rsidR="000D3864" w:rsidRDefault="000D3864" w:rsidP="000D3864">
      <w:pPr>
        <w:pStyle w:val="ConsPlusNormal"/>
        <w:jc w:val="both"/>
      </w:pPr>
      <w:r>
        <w:t>- ответственность за нарушение сроков выплаты;</w:t>
      </w:r>
    </w:p>
    <w:p w:rsidR="000D3864" w:rsidRDefault="000D3864" w:rsidP="000D3864">
      <w:pPr>
        <w:pStyle w:val="ConsPlusNormal"/>
        <w:jc w:val="both"/>
      </w:pPr>
      <w:r>
        <w:t>- содействие в погашении долга по зарплате;</w:t>
      </w:r>
    </w:p>
    <w:p w:rsidR="000D3864" w:rsidRDefault="000D3864" w:rsidP="000D3864">
      <w:pPr>
        <w:pStyle w:val="ConsPlusNormal"/>
        <w:jc w:val="both"/>
      </w:pPr>
      <w:r>
        <w:t>- разъяснительную работу с участием сторон социального партнерства.</w:t>
      </w:r>
    </w:p>
    <w:p w:rsidR="000D3864" w:rsidRDefault="000D3864" w:rsidP="000D3864">
      <w:pPr>
        <w:pStyle w:val="ConsPlusNormal"/>
        <w:jc w:val="both"/>
      </w:pPr>
      <w:r>
        <w:t xml:space="preserve">Чтобы координировать деятельность в этой сфере, </w:t>
      </w:r>
      <w:hyperlink r:id="rId17">
        <w:r>
          <w:rPr>
            <w:color w:val="0000FF"/>
          </w:rPr>
          <w:t>сформируют</w:t>
        </w:r>
      </w:hyperlink>
      <w:r>
        <w:t xml:space="preserve"> межведомственные комиссии субъектов РФ.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r>
        <w:t>С 1 марта 2025 года заработают поправки с гарантиями для контрактников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8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26.12.2024 N 498-ФЗ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 xml:space="preserve">Работодателей обяжут </w:t>
      </w:r>
      <w:hyperlink r:id="rId19">
        <w:r>
          <w:rPr>
            <w:color w:val="0000FF"/>
          </w:rPr>
          <w:t>приостанавливать</w:t>
        </w:r>
      </w:hyperlink>
      <w:r>
        <w:t xml:space="preserve"> действие трудового договора со специалистом на весь срок контракта о прохождении военной службы в период мобилизации, военного положения или в военное время. Пока гарантия </w:t>
      </w:r>
      <w:hyperlink r:id="rId20">
        <w:r>
          <w:rPr>
            <w:color w:val="0000FF"/>
          </w:rPr>
          <w:t>закреплена</w:t>
        </w:r>
      </w:hyperlink>
      <w:r>
        <w:t xml:space="preserve"> в ТК РФ с отсылкой к </w:t>
      </w:r>
      <w:hyperlink r:id="rId21">
        <w:r>
          <w:rPr>
            <w:color w:val="0000FF"/>
          </w:rPr>
          <w:t>норме</w:t>
        </w:r>
      </w:hyperlink>
      <w:r>
        <w:t>, где срок контракта ограничен (год или меньший период).</w:t>
      </w:r>
    </w:p>
    <w:p w:rsidR="000D3864" w:rsidRDefault="000D3864" w:rsidP="000D3864">
      <w:pPr>
        <w:pStyle w:val="ConsPlusNormal"/>
        <w:jc w:val="both"/>
      </w:pPr>
      <w:r>
        <w:t xml:space="preserve">Аналогично изменят время предоставления </w:t>
      </w:r>
      <w:hyperlink r:id="rId22">
        <w:r>
          <w:rPr>
            <w:color w:val="0000FF"/>
          </w:rPr>
          <w:t>гарантий</w:t>
        </w:r>
      </w:hyperlink>
      <w:r>
        <w:t xml:space="preserve"> родителям с детьми определенного возраста, если другой родитель проходит военную службу по данному контракту.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bookmarkStart w:id="0" w:name="P96"/>
      <w:bookmarkEnd w:id="0"/>
      <w:r>
        <w:lastRenderedPageBreak/>
        <w:t>С 5 февраля 2025 года внедрили режим высылки незаконных мигрантов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23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08.08.2024 N 260-ФЗ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hyperlink r:id="rId24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26.12.2024 N 1899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>Для иностранцев и лиц без гражданства, у которых нет законных оснований находиться в РФ, действует режим высылки. Он предполагает ограничения и меры контроля. Новшества ввели, чтобы незаконные мигранты выехали из страны либо урегулировали правовое положение в ней.</w:t>
      </w:r>
    </w:p>
    <w:p w:rsidR="000D3864" w:rsidRDefault="000D3864" w:rsidP="000D3864">
      <w:pPr>
        <w:pStyle w:val="ConsPlusNormal"/>
        <w:jc w:val="both"/>
      </w:pPr>
      <w:r>
        <w:t xml:space="preserve">Режим высылки среди прочего </w:t>
      </w:r>
      <w:hyperlink r:id="rId25">
        <w:r>
          <w:rPr>
            <w:color w:val="0000FF"/>
          </w:rPr>
          <w:t>влечет запреты</w:t>
        </w:r>
      </w:hyperlink>
      <w:r>
        <w:t>:</w:t>
      </w:r>
    </w:p>
    <w:p w:rsidR="000D3864" w:rsidRDefault="000D3864" w:rsidP="000D3864">
      <w:pPr>
        <w:pStyle w:val="ConsPlusNormal"/>
        <w:jc w:val="both"/>
      </w:pPr>
      <w:r>
        <w:t>- покупать и регистрировать недвижимость и ТС;</w:t>
      </w:r>
    </w:p>
    <w:p w:rsidR="000D3864" w:rsidRDefault="000D3864" w:rsidP="000D3864">
      <w:pPr>
        <w:pStyle w:val="ConsPlusNormal"/>
        <w:jc w:val="both"/>
      </w:pPr>
      <w:r>
        <w:t xml:space="preserve">- регистрировать </w:t>
      </w:r>
      <w:proofErr w:type="spellStart"/>
      <w:r>
        <w:t>юрлица</w:t>
      </w:r>
      <w:proofErr w:type="spellEnd"/>
      <w:r>
        <w:t>;</w:t>
      </w:r>
    </w:p>
    <w:p w:rsidR="000D3864" w:rsidRDefault="000D3864" w:rsidP="000D3864">
      <w:pPr>
        <w:pStyle w:val="ConsPlusNormal"/>
        <w:jc w:val="both"/>
      </w:pPr>
      <w:r>
        <w:t>- управлять ТС, получать водительские права;</w:t>
      </w:r>
    </w:p>
    <w:p w:rsidR="000D3864" w:rsidRDefault="000D3864" w:rsidP="000D3864">
      <w:pPr>
        <w:pStyle w:val="ConsPlusNormal"/>
        <w:jc w:val="both"/>
      </w:pPr>
      <w:r>
        <w:t>- выезжать за пределы территории субъекта или муниципального образования, где иностранец проживает (пребывает), кроме выезда из РФ;</w:t>
      </w:r>
    </w:p>
    <w:p w:rsidR="000D3864" w:rsidRDefault="000D3864" w:rsidP="000D3864">
      <w:pPr>
        <w:pStyle w:val="ConsPlusNormal"/>
        <w:jc w:val="both"/>
      </w:pPr>
      <w:r>
        <w:t>- вступать в брак;</w:t>
      </w:r>
    </w:p>
    <w:p w:rsidR="000D3864" w:rsidRDefault="000D3864" w:rsidP="000D3864">
      <w:pPr>
        <w:pStyle w:val="ConsPlusNormal"/>
        <w:jc w:val="both"/>
      </w:pPr>
      <w:r>
        <w:t>- открывать банковские счета.</w:t>
      </w:r>
    </w:p>
    <w:p w:rsidR="000D3864" w:rsidRDefault="000D3864" w:rsidP="000D3864">
      <w:pPr>
        <w:pStyle w:val="ConsPlusNormal"/>
        <w:jc w:val="both"/>
      </w:pPr>
      <w:r>
        <w:t xml:space="preserve">Такой режим применяют к иностранцу, пока сведения о нем находятся в </w:t>
      </w:r>
      <w:hyperlink r:id="rId26">
        <w:r>
          <w:rPr>
            <w:color w:val="0000FF"/>
          </w:rPr>
          <w:t>реестре контролируемых лиц</w:t>
        </w:r>
      </w:hyperlink>
      <w:r>
        <w:t>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bookmarkStart w:id="1" w:name="P111"/>
      <w:bookmarkEnd w:id="1"/>
      <w:r>
        <w:t>С 6 января 2025 года уточнен перечень индикаторов риска для проверок ГИТ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hyperlink r:id="rId27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Минтруда России от 28.11.2024 N 640н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 xml:space="preserve">В список показателей, которые используют при решении вопроса о проведении внеплановой проверки работодателя и выборе ее вида, </w:t>
      </w:r>
      <w:hyperlink r:id="rId28">
        <w:r>
          <w:rPr>
            <w:color w:val="0000FF"/>
          </w:rPr>
          <w:t>добавили</w:t>
        </w:r>
      </w:hyperlink>
      <w:r>
        <w:t xml:space="preserve"> сотрудничество с </w:t>
      </w:r>
      <w:proofErr w:type="spellStart"/>
      <w:r>
        <w:t>самозанятыми</w:t>
      </w:r>
      <w:proofErr w:type="spellEnd"/>
      <w:r>
        <w:t>. Критерий станут использовать, если:</w:t>
      </w:r>
    </w:p>
    <w:p w:rsidR="000D3864" w:rsidRDefault="000D3864" w:rsidP="000D3864">
      <w:pPr>
        <w:pStyle w:val="ConsPlusNormal"/>
        <w:jc w:val="both"/>
      </w:pPr>
      <w:r>
        <w:t>- работодатель взаимодействует более чем с 35 такими лицами;</w:t>
      </w:r>
    </w:p>
    <w:p w:rsidR="000D3864" w:rsidRDefault="000D3864" w:rsidP="000D3864">
      <w:pPr>
        <w:pStyle w:val="ConsPlusNormal"/>
        <w:jc w:val="both"/>
      </w:pPr>
      <w:r>
        <w:t>- платит им свыше 35 тыс. руб., что равно не менее 90% их дохода;</w:t>
      </w:r>
    </w:p>
    <w:p w:rsidR="000D3864" w:rsidRDefault="000D3864" w:rsidP="000D3864">
      <w:pPr>
        <w:pStyle w:val="ConsPlusNormal"/>
        <w:jc w:val="both"/>
      </w:pPr>
      <w:r>
        <w:t>- работа длится более 3 месяцев.</w:t>
      </w:r>
    </w:p>
    <w:p w:rsidR="000D3864" w:rsidRDefault="000D3864" w:rsidP="000D3864">
      <w:pPr>
        <w:pStyle w:val="ConsPlusNormal"/>
        <w:jc w:val="both"/>
      </w:pPr>
      <w:hyperlink r:id="rId29">
        <w:r>
          <w:rPr>
            <w:color w:val="0000FF"/>
          </w:rPr>
          <w:t>Уточнили</w:t>
        </w:r>
      </w:hyperlink>
      <w:r>
        <w:t xml:space="preserve"> показатель о зарплате ниже МРОТ. Его используют, если за каждый месяц предыдущего квартала до минимума недоплачивали 60 и более сотрудникам. При этом доля таких специалистов не менее 50% от всего персонала организации.</w:t>
      </w:r>
    </w:p>
    <w:p w:rsidR="000D3864" w:rsidRDefault="000D3864" w:rsidP="000D3864">
      <w:pPr>
        <w:pStyle w:val="ConsPlusNormal"/>
        <w:jc w:val="both"/>
      </w:pPr>
      <w:r>
        <w:t xml:space="preserve">Скорректировали также и такой индикатор, как отсутствие кадровых изменений при сокращении обязательных отчислений в СФР на 50%. Теперь показатель </w:t>
      </w:r>
      <w:hyperlink r:id="rId30">
        <w:r>
          <w:rPr>
            <w:color w:val="0000FF"/>
          </w:rPr>
          <w:t>применяют</w:t>
        </w:r>
      </w:hyperlink>
      <w:r>
        <w:t>, если в штате от 15 человек, при этом их число за квартал не уменьшилось, а фонд оплаты труда сократили на 80% и более.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bookmarkStart w:id="2" w:name="P122"/>
      <w:bookmarkEnd w:id="2"/>
      <w:r>
        <w:t>С 1 января 2025 года ввели профилирование работодателей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31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12.12.2023 N 565-ФЗ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hyperlink r:id="rId32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27.12.2024 N 1927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hyperlink r:id="rId33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Минтруда России от 28.11.2024 N 639н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 xml:space="preserve">Чтобы оказывать поддержку в сфере занятости, работодателей распределяют на группы в зависимости от организационно-правовой формы, вида деятельности, финансового положения и др. Создают, ведут и хранят электронные учетные дела на них согласно новым </w:t>
      </w:r>
      <w:hyperlink r:id="rId34">
        <w:r>
          <w:rPr>
            <w:color w:val="0000FF"/>
          </w:rPr>
          <w:t>правилам</w:t>
        </w:r>
      </w:hyperlink>
      <w:r>
        <w:t>.</w:t>
      </w:r>
    </w:p>
    <w:p w:rsidR="000D3864" w:rsidRDefault="000D3864" w:rsidP="000D3864">
      <w:pPr>
        <w:pStyle w:val="ConsPlusNormal"/>
        <w:jc w:val="both"/>
      </w:pPr>
      <w:r>
        <w:t xml:space="preserve">Основным способом обращения в службу занятости </w:t>
      </w:r>
      <w:hyperlink r:id="rId35">
        <w:r>
          <w:rPr>
            <w:color w:val="0000FF"/>
          </w:rPr>
          <w:t>стал</w:t>
        </w:r>
      </w:hyperlink>
      <w:r>
        <w:t xml:space="preserve"> электронный - через платформу "Работа в России" или </w:t>
      </w:r>
      <w:proofErr w:type="spellStart"/>
      <w:r>
        <w:t>Госуслуги</w:t>
      </w:r>
      <w:proofErr w:type="spellEnd"/>
      <w:r>
        <w:t>.</w:t>
      </w:r>
    </w:p>
    <w:p w:rsidR="000D3864" w:rsidRDefault="000D3864" w:rsidP="000D3864">
      <w:pPr>
        <w:pStyle w:val="ConsPlusNormal"/>
        <w:jc w:val="both"/>
      </w:pPr>
      <w:r>
        <w:t xml:space="preserve">Заработали нормы о </w:t>
      </w:r>
      <w:hyperlink r:id="rId36">
        <w:r>
          <w:rPr>
            <w:color w:val="0000FF"/>
          </w:rPr>
          <w:t>реестре работодателей</w:t>
        </w:r>
      </w:hyperlink>
      <w:r>
        <w:t>, у которых выявили факты нелегальной занятости.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bookmarkStart w:id="3" w:name="P132"/>
      <w:bookmarkEnd w:id="3"/>
      <w:r>
        <w:t>С 1 января 2025 года МРОТ составляет 22 440 руб. в месяц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37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29.10.2024 N 365-ФЗ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>Минимальная зарплата выросла более чем на 3000 руб. Ранее она составляла 19 242 руб.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bookmarkStart w:id="4" w:name="P138"/>
      <w:bookmarkEnd w:id="4"/>
      <w:r>
        <w:t>С 1 января 2025 года отменили запрет пересылать трудовые книжки за границу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38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22.06.2024 N 145-ФЗ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 xml:space="preserve">Легализацию российских и иностранных документов, а также истребование личных документов стал регулировать новый закон. Из-за этого утратили силу прежние нормы, среди которых </w:t>
      </w:r>
      <w:hyperlink r:id="rId39">
        <w:r>
          <w:rPr>
            <w:color w:val="0000FF"/>
          </w:rPr>
          <w:t>запрет</w:t>
        </w:r>
      </w:hyperlink>
      <w:r>
        <w:t xml:space="preserve"> вывозить и пересылать за границу трудовые книжки, военные билеты, удостоверения личности.</w:t>
      </w:r>
    </w:p>
    <w:p w:rsidR="000D3864" w:rsidRDefault="000D3864" w:rsidP="000D3864">
      <w:pPr>
        <w:pStyle w:val="ConsPlusNormal"/>
        <w:jc w:val="both"/>
      </w:pPr>
      <w:r>
        <w:t xml:space="preserve">Гражданам </w:t>
      </w:r>
      <w:hyperlink r:id="rId40">
        <w:r>
          <w:rPr>
            <w:color w:val="0000FF"/>
          </w:rPr>
          <w:t>не разрешили</w:t>
        </w:r>
      </w:hyperlink>
      <w:r>
        <w:t xml:space="preserve"> истребовать трудовую книжку из РФ путем подачи заявления в дипломатическое представительство или консульство.</w:t>
      </w:r>
    </w:p>
    <w:p w:rsidR="000D3864" w:rsidRDefault="000D3864" w:rsidP="000D3864">
      <w:pPr>
        <w:pStyle w:val="ConsPlusNormal"/>
        <w:jc w:val="both"/>
      </w:pPr>
    </w:p>
    <w:p w:rsidR="000D3864" w:rsidRDefault="000D3864" w:rsidP="000D3864">
      <w:pPr>
        <w:pStyle w:val="ConsPlusTitle"/>
        <w:jc w:val="both"/>
        <w:outlineLvl w:val="0"/>
      </w:pPr>
      <w:bookmarkStart w:id="5" w:name="P145"/>
      <w:bookmarkEnd w:id="5"/>
      <w:r>
        <w:t>С 1 января 2025 года вступили в силу поправки о предоставлении труда персонала другим работодателям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9203"/>
        <w:gridCol w:w="180"/>
      </w:tblGrid>
      <w:tr w:rsidR="000D3864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D3864" w:rsidRDefault="000D3864" w:rsidP="000D3864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41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26.12.2024 N 498-ФЗ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864" w:rsidRDefault="000D3864" w:rsidP="000D3864">
            <w:pPr>
              <w:pStyle w:val="ConsPlusNormal"/>
            </w:pPr>
          </w:p>
        </w:tc>
      </w:tr>
    </w:tbl>
    <w:p w:rsidR="000D3864" w:rsidRDefault="000D3864" w:rsidP="000D3864">
      <w:pPr>
        <w:pStyle w:val="ConsPlusNormal"/>
        <w:jc w:val="both"/>
      </w:pPr>
      <w:r>
        <w:t xml:space="preserve">ТК РФ дополнили </w:t>
      </w:r>
      <w:hyperlink r:id="rId42">
        <w:r>
          <w:rPr>
            <w:color w:val="0000FF"/>
          </w:rPr>
          <w:t>положениями</w:t>
        </w:r>
      </w:hyperlink>
      <w:r>
        <w:t xml:space="preserve"> о регулировании труда специалистов, которых временно направляют к другим работодателям по договору о предоставлении труда персонала. Часть норм перенесли из </w:t>
      </w:r>
      <w:hyperlink r:id="rId43">
        <w:r>
          <w:rPr>
            <w:color w:val="0000FF"/>
          </w:rPr>
          <w:t>Закона</w:t>
        </w:r>
      </w:hyperlink>
      <w:r>
        <w:t xml:space="preserve"> о занятости, так как он перестал действовать.</w:t>
      </w:r>
    </w:p>
    <w:p w:rsidR="00B85497" w:rsidRDefault="000D3864" w:rsidP="000D3864">
      <w:pPr>
        <w:pStyle w:val="ConsPlusNormal"/>
        <w:jc w:val="both"/>
      </w:pPr>
      <w:r>
        <w:t xml:space="preserve">Среди прочего </w:t>
      </w:r>
      <w:hyperlink r:id="rId44">
        <w:r>
          <w:rPr>
            <w:color w:val="0000FF"/>
          </w:rPr>
          <w:t>уточнили</w:t>
        </w:r>
      </w:hyperlink>
      <w:r>
        <w:t xml:space="preserve"> один из случаев, когда частное агентство занятости вправе заключать такой договор. Оно может это делать при направлении сотрудника к ИП или </w:t>
      </w:r>
      <w:proofErr w:type="spellStart"/>
      <w:r>
        <w:t>юрлицу</w:t>
      </w:r>
      <w:proofErr w:type="spellEnd"/>
      <w:r>
        <w:t xml:space="preserve"> для проведения работ, которые связаны с заведомо временным (до 18 месяцев) расширением производства или объема услуг. Ранее срок был ограничен </w:t>
      </w:r>
      <w:hyperlink r:id="rId45">
        <w:r>
          <w:rPr>
            <w:color w:val="0000FF"/>
          </w:rPr>
          <w:t>9 месяцами</w:t>
        </w:r>
      </w:hyperlink>
      <w:r>
        <w:t>.</w:t>
      </w:r>
    </w:p>
    <w:sectPr w:rsidR="00B85497" w:rsidSect="000D3864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864"/>
    <w:rsid w:val="000D3864"/>
    <w:rsid w:val="006235D4"/>
    <w:rsid w:val="00B8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8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38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38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5518&amp;dst=100019" TargetMode="External"/><Relationship Id="rId13" Type="http://schemas.openxmlformats.org/officeDocument/2006/relationships/hyperlink" Target="https://login.consultant.ru/link/?req=doc&amp;base=RZB&amp;n=493279&amp;dst=721" TargetMode="External"/><Relationship Id="rId18" Type="http://schemas.openxmlformats.org/officeDocument/2006/relationships/hyperlink" Target="https://login.consultant.ru/link/?req=doc&amp;base=RZB&amp;n=494428&amp;dst=100010" TargetMode="External"/><Relationship Id="rId26" Type="http://schemas.openxmlformats.org/officeDocument/2006/relationships/hyperlink" Target="https://login.consultant.ru/link/?req=doc&amp;base=RZB&amp;n=495065&amp;dst=100156" TargetMode="External"/><Relationship Id="rId39" Type="http://schemas.openxmlformats.org/officeDocument/2006/relationships/hyperlink" Target="https://login.consultant.ru/link/?req=doc&amp;base=RZB&amp;n=98329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487135&amp;dst=1187" TargetMode="External"/><Relationship Id="rId34" Type="http://schemas.openxmlformats.org/officeDocument/2006/relationships/hyperlink" Target="https://login.consultant.ru/link/?req=doc&amp;base=RZB&amp;n=493800&amp;dst=100012" TargetMode="External"/><Relationship Id="rId42" Type="http://schemas.openxmlformats.org/officeDocument/2006/relationships/hyperlink" Target="https://login.consultant.ru/link/?req=doc&amp;base=RZB&amp;n=494428&amp;dst=10001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B&amp;n=477795&amp;dst=100012" TargetMode="External"/><Relationship Id="rId12" Type="http://schemas.openxmlformats.org/officeDocument/2006/relationships/hyperlink" Target="https://login.consultant.ru/link/?req=doc&amp;base=RZB&amp;n=486920&amp;dst=100011" TargetMode="External"/><Relationship Id="rId17" Type="http://schemas.openxmlformats.org/officeDocument/2006/relationships/hyperlink" Target="https://login.consultant.ru/link/?req=doc&amp;base=RZB&amp;n=482506&amp;dst=100025" TargetMode="External"/><Relationship Id="rId25" Type="http://schemas.openxmlformats.org/officeDocument/2006/relationships/hyperlink" Target="https://login.consultant.ru/link/?req=doc&amp;base=RZB&amp;n=495065&amp;dst=100128" TargetMode="External"/><Relationship Id="rId33" Type="http://schemas.openxmlformats.org/officeDocument/2006/relationships/hyperlink" Target="https://login.consultant.ru/link/?req=doc&amp;base=RZB&amp;n=493800" TargetMode="External"/><Relationship Id="rId38" Type="http://schemas.openxmlformats.org/officeDocument/2006/relationships/hyperlink" Target="https://login.consultant.ru/link/?req=doc&amp;base=RZB&amp;n=479263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82506&amp;dst=100018" TargetMode="External"/><Relationship Id="rId20" Type="http://schemas.openxmlformats.org/officeDocument/2006/relationships/hyperlink" Target="https://login.consultant.ru/link/?req=doc&amp;base=RZB&amp;n=493279&amp;dst=3113" TargetMode="External"/><Relationship Id="rId29" Type="http://schemas.openxmlformats.org/officeDocument/2006/relationships/hyperlink" Target="https://login.consultant.ru/link/?req=doc&amp;base=LAW&amp;n=494490&amp;dst=100012" TargetMode="External"/><Relationship Id="rId41" Type="http://schemas.openxmlformats.org/officeDocument/2006/relationships/hyperlink" Target="https://login.consultant.ru/link/?req=doc&amp;base=RZB&amp;n=494428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5518" TargetMode="External"/><Relationship Id="rId11" Type="http://schemas.openxmlformats.org/officeDocument/2006/relationships/hyperlink" Target="https://login.consultant.ru/link/?req=doc&amp;base=RZB&amp;n=486920" TargetMode="External"/><Relationship Id="rId24" Type="http://schemas.openxmlformats.org/officeDocument/2006/relationships/hyperlink" Target="https://login.consultant.ru/link/?req=doc&amp;base=RZB&amp;n=495039" TargetMode="External"/><Relationship Id="rId32" Type="http://schemas.openxmlformats.org/officeDocument/2006/relationships/hyperlink" Target="https://login.consultant.ru/link/?req=doc&amp;base=RZB&amp;n=495040" TargetMode="External"/><Relationship Id="rId37" Type="http://schemas.openxmlformats.org/officeDocument/2006/relationships/hyperlink" Target="https://login.consultant.ru/link/?req=doc&amp;base=RZB&amp;n=489264" TargetMode="External"/><Relationship Id="rId40" Type="http://schemas.openxmlformats.org/officeDocument/2006/relationships/hyperlink" Target="https://login.consultant.ru/link/?req=doc&amp;base=RZB&amp;n=479263&amp;dst=100037" TargetMode="External"/><Relationship Id="rId45" Type="http://schemas.openxmlformats.org/officeDocument/2006/relationships/hyperlink" Target="https://login.consultant.ru/link/?req=doc&amp;base=RZB&amp;n=493279&amp;dst=217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ZB&amp;n=486920&amp;dst=100010" TargetMode="External"/><Relationship Id="rId23" Type="http://schemas.openxmlformats.org/officeDocument/2006/relationships/hyperlink" Target="https://login.consultant.ru/link/?req=doc&amp;base=RZB&amp;n=495065" TargetMode="External"/><Relationship Id="rId28" Type="http://schemas.openxmlformats.org/officeDocument/2006/relationships/hyperlink" Target="https://login.consultant.ru/link/?req=doc&amp;base=LAW&amp;n=494490&amp;dst=100015" TargetMode="External"/><Relationship Id="rId36" Type="http://schemas.openxmlformats.org/officeDocument/2006/relationships/hyperlink" Target="https://login.consultant.ru/link/?req=doc&amp;base=RZB&amp;n=482646&amp;dst=100713" TargetMode="External"/><Relationship Id="rId10" Type="http://schemas.openxmlformats.org/officeDocument/2006/relationships/hyperlink" Target="https://login.consultant.ru/link/?req=doc&amp;base=RZB&amp;n=490070&amp;dst=100010" TargetMode="External"/><Relationship Id="rId19" Type="http://schemas.openxmlformats.org/officeDocument/2006/relationships/hyperlink" Target="https://login.consultant.ru/link/?req=doc&amp;base=RZB&amp;n=482885&amp;dst=3239" TargetMode="External"/><Relationship Id="rId31" Type="http://schemas.openxmlformats.org/officeDocument/2006/relationships/hyperlink" Target="https://login.consultant.ru/link/?req=doc&amp;base=RZB&amp;n=482646&amp;dst=100029" TargetMode="External"/><Relationship Id="rId44" Type="http://schemas.openxmlformats.org/officeDocument/2006/relationships/hyperlink" Target="https://login.consultant.ru/link/?req=doc&amp;base=RZB&amp;n=493279&amp;dst=318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90070" TargetMode="External"/><Relationship Id="rId14" Type="http://schemas.openxmlformats.org/officeDocument/2006/relationships/hyperlink" Target="https://login.consultant.ru/link/?req=doc&amp;base=RZB&amp;n=493279&amp;dst=716" TargetMode="External"/><Relationship Id="rId22" Type="http://schemas.openxmlformats.org/officeDocument/2006/relationships/hyperlink" Target="https://login.consultant.ru/link/?req=doc&amp;base=RZB&amp;n=432078&amp;dst=100230" TargetMode="External"/><Relationship Id="rId27" Type="http://schemas.openxmlformats.org/officeDocument/2006/relationships/hyperlink" Target="https://login.consultant.ru/link/?req=doc&amp;base=LAW&amp;n=494490&amp;dst=100009" TargetMode="External"/><Relationship Id="rId30" Type="http://schemas.openxmlformats.org/officeDocument/2006/relationships/hyperlink" Target="https://login.consultant.ru/link/?req=doc&amp;base=LAW&amp;n=494596&amp;dst=15" TargetMode="External"/><Relationship Id="rId35" Type="http://schemas.openxmlformats.org/officeDocument/2006/relationships/hyperlink" Target="https://login.consultant.ru/link/?req=doc&amp;base=RZB&amp;n=482646&amp;dst=100200" TargetMode="External"/><Relationship Id="rId43" Type="http://schemas.openxmlformats.org/officeDocument/2006/relationships/hyperlink" Target="https://login.consultant.ru/link/?req=doc&amp;base=RZB&amp;n=464355&amp;dst=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1534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1</cp:revision>
  <dcterms:created xsi:type="dcterms:W3CDTF">2025-02-13T09:06:00Z</dcterms:created>
  <dcterms:modified xsi:type="dcterms:W3CDTF">2025-02-13T09:15:00Z</dcterms:modified>
</cp:coreProperties>
</file>